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Кольдичев Д.А. обратился в суд с жалобой на действия конкурсного управляющего должником Гаспаряна Артура Вардгесовича. Определением Арбитражного суда Ростовской области от 17.07.2020, оставленным без изменения постановлениями Пятнадцатого арбитражного апелляционного суда от 02.09.2020 и Арбитражного суда Северо-Кавказского округа от 30.10.2020, жалоба возвращена. В кассационной жалобе, поданной в Верховный Суд Российской Федерации, заявитель просит отменить указанные судебные акты, направить вопрос о принятии жалобы к производству на новое рассмотрение в Арбитражный суд Ростовской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суд первой инстанции, руководствуясь положениями статьи 40 Арбитражного процессуального кодекса Российской Федерации, статей 34, 35 и 60 Федерального закона от 26.10.2002 № 127-ФЗ «О несостоятельности (банкротстве)», установив, что Кольдичев Д.А. не является участником дела о банкротстве должника или участником арбитражного процесса по данному делу, пришёл к выводу об отсутствии у него права на обжалование действий (бездействия) конкурного управляющего должником. Суды апелляционной инстанции и округа поддержали выводы суда первой инстанции, указав на конкретные способы защиты Кольдичевым Д.А. своих прав, если последний считает их нарушенными.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Кольдичеву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