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18.03.2020, оставленным без изменения постановлением Первого арбитражного апелляционного суда от 12.10.2020 и постановлением Арбитражного суда Волго-Вятского округа от 25.12.2020, в удовлетворении заявления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электронного аукциона между учреждением (заказчик) и обществом (подрядчик) 29.12.2018 заключен контракт № 1139601 на выполнение работ по реконструкции участка автомобильной дороги в городе областного значения Бор Нижегородской области. По условиям контракта подрядчик обязался в установленный срок выполнить работы по реконструкции автомобильной дороги, сдать результат работ заказчику, а заказчик обязался принять результат работ и оплатить их. Решением от 02.10.2019 № 02-19-2131 учреждение на основании части 9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 в одностороннем порядке отказалось от исполнения контракта в связи с существенным нарушением подрядчиком его условий. Указанное решение размещено 02.10.2019 в единой информационной системе, в этот же день направлено подрядчику, контракт расторгнут 13.11.2019. Кроме того, заказчик обратился в управление с заявлением от 18.11.2019 о включении сведений об обществе в реестр недобросовестных поставщиков. Решением управления в удовлетворении заявления отказано. Не согласившись с решением управления, заявитель обратился в арбитражный суд. Оценив представленные в материалы дела доказательства, руководствуясь положениями Закона о контрактной системе,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трех инстанций пришли к выводу о том, что решение управления соответствует положениям действующего законодательства и не нарушает права и законные интересы заявителя. Судебные инстанции установили, что после заключения контракта обществом принимались меры, направленные на исполнение контракта, велась работа по изучению соответствующей дорожной одежды и контролю толщины 3 существующей конструкции для определения объема основного компонента для изготовления материала; по результатам обследования заказчику было предложено заменить материал, выполнить корректировку разделов проектной документации; выполнялись работы на объекте. Суды учли принятие заказчиком откорректированной проектной документации, предусматривающей замену конструктивных слоев дорожного полотна; выполнение подрядчиком работ на объекте; отсутствие со стороны заказчика на всем протяжении выполнения работ на объекте претензий либо замечаний по качеству работ и используемых материалов; дальнейшие взаимоотношения сторон по контракту после отказа заказчика от его исполнения. При таких обстоятельствах суды согласились с выводами антимонопольного органа об отсутствии оснований для включения общества в реестр недобросовестных поставщиков.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Нижегородской области «Главное управление автомобильных дорог»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