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06.07.2020, оставленным без изменения постановлением Девятого арбитражного апелляционного суда от 21.09.2020 и постановлением Арбитражного суда Московского округа от 22.12.2020, в удовлетворении иска отказано. В кассационной жалобе, поданной в Верховный Суд Российской Федерации, общество, ссылаясь на незаконность указанных судебных актов, просит их отменить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спорного договора, установив факт нарушения обществом сроков выполнения работ по договору, суды первой и апелляционной инстанций признали правомерным начисление учреждением неустойки и ее удержание им из причитающихся истцу платежей. При таких обстоятельствах, учитывая отсутствие доказательств несоразмерности неустойки последствиям нарушения обязательства, руководствуясь статьями 309, 310, 330, 421, 720, 753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отсутствии оснований для удовлетворения иска, с чем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«Ваухаус»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