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«АФК» (далее – общество) обратилось в суд с заявлением о включении в реестр требований кредиторов должника (далее – реестр) 10 325 680 рублей 60 копеек. Определением Арбитражного суда города Санкт-Петербурга и Ленинградской области от 15.02.2020, оставленным без изменения постановлениями Тринадцатого арбитражного апелляционного суда от 04.08.2020 и Арбитражного суда Северо-Западного округа от 26.10.2020,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во включении требований общества в полном объёме. 26.01.2021 материалы дела № А56-139881/2018 были истребованы в Арбитражном суде города Санкт-Петербурга и Ленинградской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Разрешая спор, суды, руководствуясь статьями 807, 810 Гражданского кодекса Российской Федерации, статьями 71, 100,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доказанности предоставления должнику спорных займов и наличия непогашенной задолженности перед обществом, в связи с чем включили спорное требование в третью очередь реестра.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Аввакумову Андрею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