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казенное учреждение «Управление Восточного округа войск национальной гвардии Российской Федерации» (далее – истец) обратилось в Арбитражный суд Хабаровского края с иском к обществу с ограниченной ответственностью «Дальневосточная проектировочная компания» (далее – ответчик) о взыскании 922 472 рублей 63 копеек неустойки за нарушение срока выполнения работ по государственному контракту от 17.11.2017 № 4-17 за период с 18.12.2018 по 01.08.2019. 2 К участию в деле в качестве третьего лица, не заявляющего самостоятельные требования, привлечено федеральное государственное казенное учреждение «Центр государственной экспертизы в отношении объектов обороны и безопасности, находящихся в ведении Федеральной службы войск национальной гвардии Российской Федерации». Решением Арбитражного суда Хабаровского края от 29.07.2020, оставленным без изменения постановлением Шестого арбитражного апелляционного суда от 22.09.2020, истцу отказано в удовлетворении заявленных требований. Арбитражный суд Дальневосточного округа постановлением от 17.12.2020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установив, что после передачи истцу (государственный заказчик по государственному контракту от 17.11.2017 № 4-17) по акту от 24.09.2018 № 215 подготовленной проектной документации ответчик (генеральный подрядчик) получил от истца 18.12.2018 и 25.12.2018 новые техническое и тактико-техническое задания, которыми внесены существенные изменения в подготовленную проектную документацию, в результате чего произошло значительное увеличение фактически выполненных работ, и без внесения изменений в эту документацию ответчик не мог приступить к выполнению рабочей документации, суды пришли к выводу о том, что просрочка выполнения работ допущена ответчиком 3 вследствие действий истца по изменению технического задания и представлению тактико-технического задания.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суды пришли к выводу об отсутствии оснований для удовлетворения требований истца.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обстоятельств дела, связанных с внесением истцом существенных изменений в первоначальные данные проектной документации, без которой разработка рабочей документации невозможна. Как установлено судами, просрочка выполнения работ в полном объеме (изыскания, разработка проектной и рабочей документации) не является следствием поведения подрядчика при исполнении контракта.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истца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