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марта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Санкт-Петербурга и Ленинградской области от 09.06.2018, оставленным без изменения постановлением Тринадцатого арбитражного апелляционного суда от 07.12.2018 и постановлением Арбитражного суда Северо-Западного округа от 15.03.2019, принят отказ Общества в части признания недействительным одностороннего отказа от контракта, производство по делу в указанной части прекращено. В удовлетворении остальной части исковых требований отказано. Встречный иск удовлетворен частично: с Общества в пользу Учреждения взыскано 601 215 руб. 10 коп. пеней, 234 254 руб. 86 коп. штрафа и 2 546 729 руб. 96 коп. убытков, в удовлетворении остальной части встречного иска отказано. В кассационной жалобе, поданной в Верховный Суд Российской Федерации, Общество, ссылаясь на нарушение судами норм права, просит отменить указанные судебные акты и направить дело на новое рассмотрение в суд первой инстанции. По смыслу части 1 статьи 291.1 , части 7 статьи 291.6 , статьи 291.11 Арбитражного процессуального кодекса Российской Федерации,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обжалуемых судебных актов и доводов кассационной жалобы не установлено. Как установлено судами и усматривается из судебных актов, 18.10.2016 Обществом (подрядчик) и Учреждением (заказчик) заключен муниципальный контракт № 0145300006316000343 на выполнение работ по ремонту кровли школы по адресу: &lt;...&gt;. Настаивая, что в связи с расторжением заказчиком контракта в одностороннем порядке, у подрядчика возникли убытки, Общество обратилось в арбитражный суд с требованием о взыскании убытков (упущенной прибыли), а также задолженности по оплате выполненных работ и штрафа за нарушение заказчиком обязательств по контракту. Встречные исковые требования Учреждения о взыскании штрафа и неустойки мотивированы некачественным выполнением Обществом работ по контракту. Разрешая спор, суд первой инстанции, с которым впоследствии согласились суды апелляционной инстанции и округа, исследовав и оценив по правилам статьи 71 Арбитражного процессуального кодекса Российской Федерации представленные в материалы дела доказательства в их совокупности и взаимосвязи, руководствуясь положениями статей 309 , 310 , 330 , 702 , 723 Гражданского кодекса Российской Федерации, статьи 95 Федерального закона от 05.04.2013 № 44-ФЗ «О контрактной системе в сфере закупок товаров, работ, услуг для обеспечения государственных и муниципальных нужд», пришел к выводу о том, что спорные работы не были включены в смету контракта, в связи с чем требования Общества о взыскании задолженности по их оплате, а также процентов за пользование чужими денежными средствами, начисленными на сумму долга, не подлежат удовлетворению. Требования Общества о взыскании штрафа отклонены судом, поскольку условиями контракта не предусмотрена ответственность по заявленным истцом основаниям. В удовлетворении требований о взыскании упущенной выгоды отказано по мотиву недоказанности условий для ее взыскания. Встречные исковые требования удовлетворены частично, исходя из следующего. Судом установлено, что заказчик отказался от контракта по обстоятельствам, предусмотренным пунктом 2 статьи 715 Гражданского кодекса Российской Федерации, ввиду нарушения подрядчиком сроков выполнения работ и причинения ущерба зданию школы в процессе выполнения работ. Установив нарушение подрядчиком условий контракта, суд признал правомерным требования Учреждения в части взыскания 601 215 руб. 10 коп. неустойки за просрочку выполнения работ до прекращения действия контракта и 234 254 руб. 86 коп. штрафа, а также убытков в виде стоимости восстановительного ремонта помещений. Приведенные в кассационной жалобе доводы были предметом исследования и оценки судов, не подтверждают существенных нарушений норм материального права и норм процессуального права, повлиявших на исход дела, по существу, выражают несогласие с оценкой представленных в материалы дела доказательств, выводами судов по фактическим обстоятельствам спора и основаны на ином толковании положений законодательства, что в силу статьи 291.6 Арбитражного процессуального кодекса Российской Федерации не может служить основанием для пересмотра судебных актов в кассационном порядке. Принимая во внимание изложенное и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«Атлант плюс»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Суд: Верховный Суд РФ (подробнее) Истцы: ООО "Атлант Плюс" (подробнее) Ответчики: МУНИЦИПАЛЬНОЕ КАЗЕННОЕ ОБЩЕОБРАЗОВАТЕЛЬНОЕ УЧРЕЖДЕНИЕ "КРАСНОБОРСКАЯ СРЕДНЯЯ ОБЩЕОБРАЗОВАТЕЛЬНАЯ ШКОЛА" (подробнее) Иные лица: Администрация муниципального образования Тосненский район Ленинградской области (подробнее) Межрайонная инспекция Федеральной налоговой службы №23 по Санкт-Петербургу (подробнее) Последние документы по делу: Определение от 4 марта 2021 г. по делу № А56-63459/2017 Определение от 22 июля 2019 г. по делу № А56-63459/2017 Показать все документы по этому делу Судебная практика по: По договору подряда Судебная практика по применению норм ст. 702, 703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