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«Эстив» обратилось в Арбитражный суд Приморского края с иском, уточненным в порядке статьи 49 Арбитражного процессуального кодекса Российской Федерации, о взыскании с индивидуального предпринимателя Богушева Николая Владимировича 1 298 947 рублей 52 копеек убытков, причиненных вследствие повреждения груза при его перевозке.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«Профимпорт», общество с ограниченной ответственностью «Центр Камня», Анищик Иван Иванович. Решением Арбитражного суда Приморского края от 15.07.2020 иск удовлетворен в части взыскания 1 274 947 рублей 52 копеек убытков, в удовлетворении иска в остальной части отказано. Постановлением Пятого арбитражного апелляционного суда от 30.09.2020 решение суда первой инстанции оставлено без изменения. 2 Арбитражный суд Дальневосточного округа постановлением от 21.01.2021 указанные судебные акты отменил и направил дело на новое рассмотрение в Арбитражный суд Приморского края. Общество с ограниченной ответственностью «Профимпорт»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