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«Модум-Транс»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открытого акционерного общества «Маслоэкстракционный завод «Лискинский» 1 262 000 рублей штрафа за сверхнормативный простой вагонов по договору от 29.11.2018 № МТ-ОЦ-1055 оказания услуг по предоставлению железнодорожного подвижного состава для осуществления железнодорожных перевозок грузов, 216 738 рублей пени за нарушение сроков оплаты штрафа за простой вагонов и 13 109 рублей расходов по получению справки ГВЦ ОАО «РЖД». Решением Арбитражного суда города Москвы от 27.01.2020 иск удовлетворен в части взыскания 883 400 рублей штрафа и 13 109 рублей расходов по получению справки; в удовлетворении иска в остальной части отказано. 2 Постановлением Девятого арбитражного апелляционного суда от 06.07.2020 решение суда первой инстанции оставлено без изменения. Арбитражный суд Московского округа постановлением от 06.11.2020 указанные судебные акты оставил без изменения. Общество с ограниченной ответственностью «Модум-Транс»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условий договора об оказании услуг по предоставлению железнодорожного подвижного состава в виде сверхнормативного простоя вагонов, поданных истцом под погрузку, а также несение истцом расходов по оплате справки, руководствуясь положениями статей 329, 330, 421, 779 Гражданского кодекса Российской Федерации, суды пришли к выводу о наличии оснований для взыскания штрафа и расходов. При этом, рассмотрев ходатайство ответчика о снижении размера штрафа на основании статьи 333 Гражданского кодекса Российской Федерации, учитывая разъяснения, изложенные в пунктах 73, 75, 77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компенсационную природу неустойки, в целях соблюдения баланса между применяемой мерой ответственности и последствиями ненадлежащего исполнения ответчиком обязательства, а также во избежание превращения института неустойки в способ обогащения кредитора вопреки ее 3 компенсационной функции, суды установили наличие оснований для уменьшения размера штрафа. Несогласие заявителя кассационной жалобы с произведенной судами оценкой обстоятельств дела и снижением размера штрафа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