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02.03.2021 с ходатайством о восстановлении срока на обжалование, пропуск которого обосновывается сбоем внутри организации, не позволившим своевременно оплатить государственную пошлину.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Объективный характер невозможности своевременного оформления документов, требуемых для подачи жалобы заявителем не обоснован, поэтому в связи с названной причиной срок восстановлению не подлежит. Учитывая подачу документов в электронном виде, принимаемым определением жалоба и государственная пошлина возвращению не подлежат. Руководствуясь статьей 184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«РК Сервис» в восстановлении срока подачи кассационной жалобы на постановление Девятого арбитражного апелляционного суда от 05.08.2020 и постановление Арбитражного суда Московского округа от 03.12.2020 по делу № А40-55008/2020 Арбитражного суда города Москвы. Кассационную жалобу общества с ограниченной ответственностью «РК Сервис» не рассматривать по существу. Судья Верховного Суда Российской Федерации Н.А. Ксенофонтова Суд: Верховный Суд РФ (подробнее) Истцы: ООО "РК СЕРВИС" (подробнее) Ответчики: ООО "АВИАЦИОННЫЕ КОМПЛЕКСНЫЕ РЕШЕНИЯ-ДЖЕТ ПАРТНЕРС"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