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«Росрыбфлот» (далее – общество) обратилось в Арбитражный суд Приморского края с заявлением к федеральному государственному казенному учреждению «Пограничное управление Федеральной службы безопасности Российской Федерации по Приморскому краю» (далее – административный орган) о признании незаконным и отмене постановления от 03.04.2020 № 2459/123-20 о привлечении к административной ответственности, предусмотренной 2 статьей 18.6 Кодекса Российской Федерации об административных правонарушениях (далее – КоАП РФ). Решением Арбитражного суда Приморского края от 30.07.2020 постановление административного органа изменено в части размера назначенного административного штрафа, который снижен до 100 000 рублей. Определением Пятого арбитражного апелляционного суда от 08.09.2020 обществу возвращена апелляционная жалоба на решение суда первой инстанции на основании пункта 3 части 1 статьи 264 Арбитражного процессуального кодекса Российской Федерации. Арбитражный суд Дальневосточного округа постановлением от 10.11.2020 оставил без изменения решение суда первой инстанции. Общество обратилось в Верховный Суд Российской Федерации с кассационной жалобой на решение суда первой инстанции и постановление суда округа, в которой просит их отменить и принять новый судебный акт по делу о признании незаконным и отмене постановления административного органа в полном объеме.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03.04.2020 № 2459/123-20 общество привлечено к административной ответственности, предусмотренной статьей 18.6 КоАП РФ, с назначением наказания в виде административного штрафа в размере 200 000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 принадлежащее обществу судно рыбопромыслового флота нарушило 3 порядок прохождения установленных контрольных пунктов (точек) при пересечении внешней границы исключительной экономической зоны Российской Федерации,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статьей 18.6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первой инстанции признал правомерным привлечение общества к указанной административной ответственности, однако пришел к выводу о возможности в данном конкретном случае применить положения частей 3.2 и 3.3 статьи 4.1 КоАП РФ и снизить размер назначенного обществу административного штрафа до 100 000 рублей, изменив оспариваемое постановление о привлечении к административной ответственности в соответствующей части. Суд округа согласился с указанными выводами и оставил без изменения решение суда первой инстанции.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в том числе относительно осуществления обществом промышленного рыболовства.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