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Владивостокская таможня (далее – таможенный орган) обратилась в Арбитражный суд Приморского края с заявлением о привлечении общества с ограниченной ответственностью «БАВАРИЯ МОТОРС» (далее – общество) к административной ответственности, предусмотренной частью 1 статьи 14.10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привлечено иностранное лицо Hyundai Motor Company (далее – иностранная компания). Решением Арбитражного суда Приморского края от 04.06.2020, оставленным без изменения постановлением Пятого арбитражного 2 апелляционного суда от 30.07.2020, общество привлечено к административной ответственности, предусмотренной частью 1 статьи 14.10 КоАП РФ, с назначением наказания в виде административного штрафа в размере 50 000 рублей с конфискацией товара, явившегося предметом административного правонарушения. Суд по интеллектуальным правам постановлением от 16.11.2020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таможенному органу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 факт ввоза обществом на территорию Российской Федерации товаров, содержащих на упаковке обозначение, сходное до степени смешения с товарным знаком иностранной компании, а также факт того, что эти товары обладают признаками контрафактности,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1 статьи 14.10 КоАП РФ, и привлек общество к указанной административной ответственности. Суды апелляционной и кассационной инстанций согласились с указанными выводами суда первой инстанции.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3 фактическим обстоятельствам дела, связанным с совершением обществом вмененного правонарушения. Как установлено судами, 23.10.2019 на Владивостокский таможенный пост (центр электронного декларирования) генеральным директором общества подана таможенная декларация ДТ № 10702070/231019/0219405 и заявлено о помещении спорного товара под таможенную процедуру выпуска для внутреннего потребления. Однако, еще до принятия решения о выпуске товара, на этапе декларирования, было установлено, что декларантом при ввозе спорного товара не соблюдены требования о товарных знаках. Соответственно, заявление об условном выпуске товаров было сделано декларантом только в целях получения документов, подтверждающих соблюдение запретов и ограничений. На основании изложенного, суды признали доказанным факт того, что целью ввоза товаров с использованием спорного товарного знака на территорию Российской Федерации являлось именно введение товара в гражданский оборот и получение прибыли от его реализации. Вывод судов о наличии в действиях общества состава вмененного правонарушения основаны на представленных в деле доказательствах и установленных фактических обстоятельствах.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