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инвестгазификация» (далее – общество) обратилось в Арбитражный суд города Санкт-Петербурга и Ленинградской области с заявлением к Управлению Федеральной антимонопольной службы по Санкт-Петербургу (далее – антимонопольный орган) о признании незаконным и отмене постановления от 27.09.2019 о привлечении к административной ответственности, 2 предусмотренной частью 7.2 статьи 19.5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общество с ограниченной ответственностью «ТехГазМонтаж». Решением Арбитражного суда города Санкт-Петербурга и Ленинградской области от 10.02.2020, оставленным без изменения постановлением Тринадцатого арбитражного апелляционного суда от 28.05.2020, заявление общества удовлетворено. Арбитражный суд Северо-Западного округа постановлением от 21.09.2020 оставил без изменения решение суда первой инстанции и постановление суда апелляционной инстанции. Антимонопольный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Письмом судьи Верховного Суда Российской Федерации от 17.12.2020 были истребованы материалы дела из Арбитражного суда города Санкт- Петербурга и Ленинградской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27.09.2019 общество привлечено к административной ответственности, предусмотренной частью 7.2 статьи 19.5 КоАП РФ, с назначением наказания в виде административного штрафа в размере 300 000 рублей. 3 Не согласившись с указанным постановлением антимонопольного органа, общество оспорило его в арбитражном суде. Рассматривая настоящий спор, оценив представленные в материалы дела доказательства с учетом установленных фактических обстоятельств дела, связанных с вменяемым обществу правонарушением и действиями общества по принятию мер по исполнению предписания антимонопольного органа, суды пришли к выводу об отсутствии в действиях общества состава административного правонарушения, ответственность за которое установлена частью 7.2 статьи 19.5 КоАП РФ и признали незаконным оспариваемое постановление антимонопольного органа, отменив его. Обжалуя судебные акты в Верховный Суд Российской Федерации, антимонопольный орган приводит доводы о наличии в действиях общества вины в совершении вмененного правонарушения. Однако указанные доводы являлись предметом рассмотрения судов и получили правовую оценку применительно к установленным фактическим обстоятельствам. Выводы судов первой и апелляционной инстанций, к компетенции которых отнесено установление фактических обстоятельств, в том числе связанных с наличием либо отсутствием вины лица, привлекаемого к административной ответственности, не подлежат переоценке на стадии кассационного обжалования. Доводы антимонопольного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Несогласие антимонопольного органа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Приведенные в жалобе доводы антимонопольного органа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