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компания обратилась в суд с заявлениями, объединенными судом в одно производство для совместного рассмотрения, о включении в реестр требований кредиторов должника её требований в размере 21 423 497 рублей 08 копеек и в размере 4 004 770 рублей 14 копеек, а должник – с ходатайством о назначении экспертизы. Определением Арбитражного суда Республики Татарстан от 30.07.2020, оставленным без изменения постановлениями Одиннадцатого арбитражного апелляционного суда от 11.09.2020 и Арбитражного суда Поволжского округа от 01.12.2020, ходатайство о назначении экспертизы удовлетворено; производство по рассмотрению заявлений компании приостановлено. В кассационной жалобе, поданной в Верховный Суд Российской Федерации, заявитель просит отменить указанные судебные акты и направить вопрос на новое рассмотрение в Арбитражный суд Республики Татарстан.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2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Приостанавливая производство по рассмотрению заявлений компании, суд первой инстанции, руководствуясь статьями 82, 143, 144, 187, 223 Арбитражного процессуального кодекса Российской Федерации, в целях проверки заявления о фальсификации представленных доказательств, пришёл к выводу о необходимости назначения судебно-технической экспертизы, поручив её проведение соответствующему эксперту. С указанными выводами впоследствии согласились суды апелляционной инстанции, отметив, что нормами процессуального права предусматривается возможность проверки законности назначения экспертизы в качестве основания для приостановления производства по делу, а не круга и содержания вопросов, по которым она должна быть проведена.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процессуального права, повлиявшем на исход дела.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«Компания «СпецСтройМаш»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