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(далее – МВД России) о взыскании за счет средств казны 2 Российской Федерации задолженности в размере 266 000 рублей, процентов за пользование чужими денежными средствами в соответствии со статьей 395 Гражданского кодекса Российской Федерации (далее – Гражданский кодекс) в размере 70 458 рублей 14 копеек, а также процентов за пользование чужими денежными средствами с 31.12.2019 по день фактической уплаты долга. К участию в деле в качестве третьего лица, не заявляющего самостоятельные требования, привлечен отдел МВД России по району Ясенево города Москвы (далее – отдел МВД России). Решением Арбитражного суда города Москвы от 25.02.2020, оставленным без изменения постановлением Девятого арбитражного апелляционного суда от 24.07.2020, организации отказано в удовлетворении заявленных требований. Арбитражный суд Московского округа постановлением от 14.12.2020 оставил без изменения решение суда первой инстанции и постановление суда апелляционной инстанции. Организация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организации в арбитражный суд с настоящим иском послужило то обстоятельство, что в рамках возбужденного в отношении общества с ограниченной ответственностью «Аптека-А.В.Е.» (далее – общество) дела об административном правонарушении, предусмотренном частью 2 статьи 7.12 Кодекса Российской Федерации об административных правонарушениях, организацией по заданию отдела МВД России были проведены пять патентно- 3 технических экспертиз, однако должностное лицо отдела МВД России должно было, но не вынесло постановление об оплате расходов организации на проведение экспертиз в размере 266 000 рублей из средств, выделяемых из федерального бюджета МВД России на оплату экспертиз по делам об административных правонарушениях. Оценив представленные в материалы дела доказательства и установив, что возбужденное в отношении общества дело об административном правонарушении рассматривалось по существу Черемушкинским районным судом г. Москвы, который 11.11.2016 вынес постановление о прекращении производства по делу об административном правонарушении в связи с отсутствием в действиях общества состава вмененного правонарушения, не разрешив при этом вопрос о расходах организации на проведение спорных экспертиз, суды пришли к выводу, что о своем нарушенном праве организация узнала 11.11.2016, в то время как с настоящими требованиями обратилась в арбитражный суд только 30.12.2019.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кодекса, учитывая дату обращения организации в арбитражный суд с настоящим заявлением, суды пришли к выводу о пропуске организацией срока исковой давности и отказали организации в удовлетворении иска. Обжалуя судебные акты в Верховный Суд Российской Федерации, организация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моментом определения начала течения срока исковой давности. Приведенные организацией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организации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