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«Контур СПб» обратилось в Арбитражный суд города Санкт-Петербурга и Ленинградской области с иском о взыскании с общества с ограниченной ответственностью «Страховая компания «Согласие» 374 660,64 евро и 69 191,19 долларов США страхового возмещения по договору страхования средств водного транспорта, рассчитанного в рублях по официальному курсу ЦБ РФ на день платежа.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«Контур». Решением Арбитражного суда города Санкт-Петербурга и Ленинградской области от 07.05.2019 иск удовлетворен. Постановлением Тринадцатого арбитражного апелляционного суда от 19.09.2019 решение суда первой инстанции изменено, иск удовлетворен в части взыскания 374 660,64 евро и 49 191,19 долларов США страхового 2 возмещения, рассчитанного в рублях по официальному курсу ЦБ РФ на день платежа, в удовлетворении иска в остальной части отказано. Арбитражный суд Северо-Западного округа постановлением от 25.11.2020 постановление суда апелляционной инстанции оставил без изменения. Общество с ограниченной ответственностью «Страховая компания «Согласие»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договора страхования и Правила страхования средств водного транспорта, заключение Северо-Западного управления государственного морского и речного надзора Федеральной службы по надзору в сфере транспорта от 03.04.2018 № 2, обстоятельства, установленные по делу № А56-104785/2018, руководствуясь положениями статей 431, 929, 930, 941, 943 Гражданского кодекса Российской Федерации, статьями 305, 308, 309 Кодекса торгового мореплавания Российской Федерации от 30.04.1999 № 81-ФЗ, суды пришли к выводу о наступлении страхового случая, влекущего обязанность страховщика произвести страховую выплату страхователю, не установив оснований для освобождения страховщика от выплаты страхового возмещения, признав размер страхового возмещения документально подтвержденным. При этом суд апелляционной инстанции уменьшил размер присужденной страховой выплаты на сумму безусловной франшизы (20 000 долларов США), предусмотренной Полисом страхования. 3 Доводы жалобы, в том числе о наличии оснований для освобождения страховщика от выплаты страхового возмещения,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эти доводы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Оценив имеющиеся в деле доказательства, суды пришли к выводу о невозможности проведения экспертизы ввиду того, что исследование самого объекта на дату повреждения невозможно.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«Согласие»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