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«Московский Индустриальный Банк» (далее – общество) обратилось в суд с заявлением о включении в реестр требований кредиторов должника задолженности в размере 1 670 108 854 рублей 36 копеек, из которых: 1 632 000 000 рублей – основной долг, 5 231 342 рублей 46 копеек – проценты за пользование кредитом, 32 877 511 рублей 90 копеек – неустойка. Определением Арбитражного суда города Москвы от 27.12.2019, оставленным без изменения постановлением Девятого арбитражного апелляционного суда от 10.07.2020 и постановлением Арбитражного суда Московского округа от 10.11.2020, требования были признаны обоснованными и подлежащими включению в реестр требований кредиторов.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71, 100 и 142 Федерального закона от 26.10.2002 № 127-ФЗ «О несостоятельности (банкротстве)», установив, что наличие задолженности и её размер подтверждены надлежащими доказательствами, пришли к выводу об обоснованности заявления общества, указав на недоказанность наличия оснований для понижения очерёдности данных требований.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«Веллиа Корпорейшн»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