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Сливаев Д.И. обратился в суд с заявлением о замене взыскателя – должника на себя в отношении взыскания с контролирующего должника лица и привлечённого к субсидиарной ответственности Крючкова Кирилла Владимировича 254 983 437 рублей 58 копеек. Определением Арбитражного суда города Москвы от 17.07.2020 заявление удовлетворено. Постановлением Девятого арбитражного апелляционного суда от 22.10.2020, оставленным без изменения постановлением Арбитражного суда Московского округа от 28.12.2020, вышеуказанное определение отменено; требование заявителя оставлено без удовлетворения.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правопреемстве взыскателя, апелляционный суд руководствовался статьями 322, 325, 387 Гражданского кодекса Российской Федерации, пунктом 8 статьи 61.11 Федерального закона от 26.10.2002 № 127-ФЗ «О несостоятельности (банкротстве) и исходил из того, что требование заявителя противоречит воле конкурсных кредиторов должника о выборе способа распоряжения правом требования к контролирующим должника лицам.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Сливаеву Дмитрию Исаевичу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