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28.02.2020 исковые требования удовлетворены. Дополнительным решением Арбитражного суда города Москвы от 23.03.2020 с общества в пользу предпринимателя взыскано 160 000 руб. расходов на оплату судебной экспертизы. Постановлением Девятого арбитражного апелляционного суда от 12.08.2020 решение и дополнительное решение суда первой инстанции оставлены без изменения. Постановлением Арбитражного суда Московского округа от 18.11.2020 судебные акты судов первой и апелляционной инстанций оставлены без изменения. В кассационной жалобе, поданной в Верховный Суд Российской Федерации, общество просит отменить указанные судебные акты как принятые с нарушением норм материального и процессуального права, выражая 2 несогласие с выводами судов в части взыскания с него затрат по договору. В остальной части судебные акты заявителем не оспариваются.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экспертное заключение, установив факт выполнения обществом (исполнитель) работ по договору с существенными недостатками, при которых использование результата работ по назначению практически невозможно, признав подтвержденным размер понесенных предпринимателем (заказчик) затрат, руководствуясь статьями 309, 310, 702, 721, 723, 724 Гражданского кодекса Российской Федерации, суды первой и апелляционной инстанций пришли к выводу о наличии оснований для удовлетворения соответствующих исковых требований. Судебные расходы на оплату судебной экспертизы распределены судом по правилам статьи 110 Арбитражного процессуального кодекса Российской Федерации. Суд округа согласился с выводами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 ПРИНТ»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