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25.03.2020 с компании в пользу общества взыскано 15 300 000 руб. неустойки, в удовлетворении остальной части исковых требований отказано. Постановлением Тринадцатого арбитражного апелляционного суда от 02.07.2020 решение суда первой инстанции изменено, с компании в пользу 2 общества взыскано 26 145 266 руб. неустойки, в удовлетворении остальной части исковых требований отказано. Постановлением Арбитражного суда Северо-Западного округа от 27.10.2020 постановление суда апелляционной инстанции оставлено без изменения. В кассационной жалобе, поданной в Верховный Суд Российской Федерации, компания, ссылаясь на нарушение судами норм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(покупатель) и компания (поставщик) заключили договор поставки от 23.06.2015 № МНЗ-15/00000/00421/Р/066-162111915420 в редакции дополнительных соглашений (далее – договор). Ссылаясь на то, что компания не поставила товар в установленные договором сроки, а также не представила банковские гарантии взамен истекших, общество обратилось в арбитражный суд с настоящим иском. Суд первой инстанции, руководствуясь статьями 309, 310, 330, 421, 506, 702, 708 Гражданского кодекса Российской Федерации, установив факт нарушения компанией обязательств по договору, пришел к выводу о наличии оснований для взыскания договорной неустойки. При этом, применив по ходатайству компании положения статьи 333 Гражданского кодекса Российской Федерации, суд снизил размер неустойки за просрочку поставки товара до 15 000 000 руб., а неустойки за непредставление банковских гарантий - до 300 000 руб. Суд апелляционной инстанции, повторно исследовав и оценив представленные в материалы дела доказательства, согласился с выводом суда первой инстанции о подтвержденности факта нарушения компанией обязательств по договору. Однако, принимая во внимание разъяснения, приведенные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констатировав отсутствие доказательств несоразмерности неустойки, начисленной за нарушение обязательств по предоставлению банковских гарантий взамен истекших, последствиям нарушения обязательства, суд изменил решение суда первой инстанции в части 3 снижения указанной неустойки и удовлетворил соответствующее требование общества в полном объеме. Суд округа поддержал выводы апелляционного суда. Доводы кассационной жалобы аналогичны доводам, ранее заявлявшимся в суде округа и получившим соответствующую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«Инжиниринговая компания «АЭМ-технологии»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