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Костромской области от 02.03.2020, оставленным без изменения постановлением Второго арбитражного апелляционного суда от 10.07.2020 и постановлением Арбитражного суда Волго-Вятского округа от 27.11.2020, иск удовлетворен.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по делу новый судебный акт об отказе в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Как следует из судебных актов, требования компании (заказчик) мотивированы тем, что общество (подрядчик) не возвратило часть оборудования (материала), поставленного ему заказчиком для выполнения работ в рамках договора от 14.10.2016 № 020.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передачи компанией давальческого материала обществу, отсутствие доказательств использования и (или) возврата его в полном объеме, принимая во внимание, что общество отрицало наличие у него спорного имущества, а также отказалось от предложения компании провести сверку переданного имущества, руководствуясь статьями 307, 309, 310, 513, 702, 713, 714, 716, 719, 1102, 1105 Гражданского кодекса Российской Федерации, суды первой и апелляционной инстанций пришли к выводу об обоснованности заявленных требований. 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 3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«АйТи Энерджи 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