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27.02.2020, оставленным без изменения постановлением Девятого арбитражного апелляционного суда от 17.08.2020 и постановлением Арбитражного суда Московского округа от 19.10.2020, иск удовлетворен. В кассационной жалобе общество «Молснабсервис» просит о пересмотре судебных актов, ссылаясь на злоупотребление истца процессуальными правами, наличие доказательств сдачи товара перевозчику по надлежащей доверенности истца, непринятие сложившихся между сторонами обычаев делового оборота.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наличие у ответчика обязанности в силу статьи 1102 Гражданского кодекса Российской Федерации возвратить полученную от истца сумму, поскольку оснований для ее удержания при прекращенном контракте от 18.01.2018№ 6/73/18 не имелось. Досудебный порядок урегулирования спора признан соблюденным, связанные с ним довод не образует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«Молснабсервис»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