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18.06.2020, оставленным без изменения постановлением Девятого арбитражного апелляционного суда от 21.09.2020 и постановлением Арбитражного суда Московского округа от 30.11.2020, заявление ответчика о взыскании 1 220 700 рублей судебных расходов удовлетворено на сумму в 162 200 рублей. В кассационной жалобе компания просит о пересмотре судебных актов, ссылаясь на ошибочное определение необходимых для участия в судебных заседаниях командировочных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Разумность и обоснованность, составляющие критерии для взыскания судебных расходов в силу статьи 110 Арбитражного процессуального кодекса Российской Федерации, ее судебного толкования и применения, установлены судами и не переоцениваются в связи с доводами жалобы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«Восточно- Сибирская Компания ГрандКом»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