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19.03.2020, оставленным без изменения постановлением Девятого арбитражного апелляционного суда от 13.08.2020 и постановлением Арбитражного суда Московского округа от 16.12.2020, производство по делу прекращено в связи с разрешением спора в другом деле. В кассационной жалобе общество «НПО Геомассив» просит об отмене судебных актов, указывая на ошибочность вывода судов о тождественности заявленного и ранее рассмотренного в рамках дела № А40-173974/2019 исков.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том, что в деле № А40-173974/2019 Арбитражного суда города Москвы требование о взыскании неустойки до фактического исполнения обязательства не разрешено, противоречит решению от 01.04.2019 по этому делу, которым в иске о взыскании такой неустойки отказано. Таким образом, вывод суда о состоявшемся в отношении заявленной неустойки решении является правильным.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«НПО Геомассив»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