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«Чеченавто» обратилось в Арбитражный суд Чеченской Республики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«Бизнес Транс Сервис» 55 650 рублей убытков в связи с повреждением груза при перевозке, а также 30 000 рублей расходов на оплату услуг представителя. К участию в деле в качестве третьего лица, не заявляющего самостоятельных требований относительно предмета спора, привлечено акционерное общество «АВТОВАЗ». Решением Арбитражного суда Чеченской Республики от 30.01.2020 иск удовлетворен в части взыскания 53 950 рублей в возмещение убытков, распределены судебные расходы, в удовлетворении иска в остальной части отказано. Постановлением Шестнадцатого арбитражного апелляционного суда от 09.07.2020 решение суда первой инстанции оставлено без изменения. 2 Арбитражный суд Северо-Кавказского округа постановлением от 12.11.2020 указанные судебные акты оставил без изменения. Общество с ограниченной ответственностью «Бизнес Транс Сервис»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грузы принимались водителями- экспедиторами ответчика к перевозке без замечаний, при приемке перевезенных ответчиком грузов обнаружены дефекты, зафиксированные в соответствующих актах, подписанных водителями-экспедиторами ответчика, и товарно-транспортных накладных, несение истцом расходов на устранение повреждений документально подтверждено, доказательств возмещения ущерба в связи с повреждением принятого к перевозке груза ответчиком не представлено, отсутствуют доказательства повреждения товара вследствие вины грузоотправителя, в том числе в результате ненадлежащей упаковки груза, руководствуясь положениями статей 15, 393, 801 Гражданского кодекса Российской Федерации, статьями 6, 7 Федерального закона от 30.06.2003 № 87-ФЗ «О транспортно-экспедиционной деятельности», статьей 34 Федерального закона от 08.11.2007 № 259-ФЗ «Устав автомобильного транспорта и городского наземного электрического транспорта», суды пришли к выводу о частичном удовлетворении иска. Доводы жалобы об отсутствии вины перевозчика приводились при рассмотрении дела,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3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«Бизнес Транс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