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02.06.2020, оставленным без изменения постановлением Пятого арбитражного апелляционного суда от 05.08.2020 и постановлением Арбитражного суда Дальневосточного округа от 26.10.2020, производство по делу прекращено в связи с отказом общества от иска. В кассационной жалобе общество просит об отмене судебных актов, ссылаясь на неосновательные выводы по существу спора в мотивировочной части при нерассмотрении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Приведенные в рассматриваемой жалобе доводы повторяют доводы, заявленные в апелляционном и окружном судах, получившие правовую оценку и не составляющие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«Ремонтно- строительная компания КФК»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