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24.03.2020, оставленным без изменения постановлением Второго арбитражного апелляционного суда от 18.06.2020 и постановлением Арбитражного суда Волго-Вятского округа от 22.10.2020, иск удовлетворен. В кассационной жалобе предприниматель просит отменить судебные акты, ссылаясь на непринятие услуг и непредставление доказательств их оказания.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неоплату предпринимателем оказанных обществом услуг, удовлетворили иск в соответствии со статьями 395, 779,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Попыванову Николаю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