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18.03.2020, оставленным без изменения постановлением Двадцатого арбитражного апелляционного суда от 08.07.2020, в удовлетворении иска отказано. Арбитражный суд Центрального округа постановлением от 05.11.2020 решение от 18.03.2020 и постановление Двадцатого арбитражного апелляционного суда от 08.07.2020 оставил без изменения. В кассационной жалобе общество «НВС» просит об отмене судебных актов, ссылаясь на неправильное определение судами обстоятельств дела и нарушение в применении норм о неосновательном обогащении.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получение ответчиком спорной денежной суммы от истца в результате исполнения вступившего в законную силу решения арбитражного суда по другому делу и отсутствие условий для взыскания ее на основании статьи 1102 Гражданского кодекса Российской Федерации. Иное толкование заявителем норм о неосновательном обогащении применительно к правоотношениям сторон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