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03.03.2020, оставленным без изменения постановлением Пятнадцатого арбитражного апелляционного суда от 10.07.2020, иск удовлетворен. Постановлением Арбитражного суда Северо-Кавказского округа от 30.10.2020 решение и постановление апелляционного суда отменены, в иске отказано. В кассационной жалобе компания просит об отмене постановления окружного суда, ссылаясь на недобросовестное поведение ответчика. В силу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нижестоящих инстанций неправильно определили правовой статус заявленной суммы в качестве неосновательного обогащения при том, что она относится к судебным издержкам, поэтому отменил судебные акты в соответствии ос статьями 286-288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«Двадцать первый век»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