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14.04.2020, оставленным без изменения постановлением Тринадцатого арбитражного апелляционного суда от 04.08.2020, в удовлетворении иска отказано вследствие неустановления условий для взыскания убытков. Арбитражный суд Московского округа постановлением от 05.12.2019 решение от 17.05.2019 и постановление Девятого арбитражного апелляционного суда от 28.08.2019 оставил без изменения. В кассационной жалобе фонд просит об отмене судебных актов, ссылаясь на неисследование исполнения сторонами договора от 04.08.2017 № 122, по которому возник спор.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фонда о том, что суды рассмотрели спор как возникший из другого, отличного от договора от 04.08.2017 № 122, противоречит содержанию судебных актов. Суды исследовали обстоятельства правоотношений сторон и не установили условий, необходимых в силу статей 15, 393 Гражданского кодекса Российской Федерации для взыскания спорной суммы в качестве упущенной выгоды.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Фонду сохранения и развития классического балета имени Олега Виноградова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