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25.02.2020, оставленным без изменения постановлением Одиннадцатого арбитражного апелляционного суда от 10.07.2020, по первоначальному иску взыскано 35 500 000 рублей задолженности и 3 014 295 рублей 64 копеек процентов за пользование чужими денежными средствами; встречный иск удовлетворен. В результате зачета взысканных сумм с завода в пользу общества взыскано 9 417 067 рублей 48 копеек. Арбитражный суд Поволжского округа постановлением от 28.10.2020 решение от 25.02.2020 и постановление Одиннадцатого арбитражного апелляционного суда от 10.07.2020 оставил без изменения. 2 В кассационной жалобе завод просит об отмене судебных актов, ссылаясь на признание зависимости оплаты товара от не участвующих в поставке лиц, повлекшее неправильное определение периода начисления процентов.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представленный заводом расчет процентов в связи с просрочкой оплаты товара противоречит договору от 03.02.2016 № 5335, поэтому привели его в соответствие с условиями обязательства.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«Козельский механический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