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14.05.2020 по первоначальному иску взыскано 4 381 871 рубль 16 копеек страхового возмещения, 487 716 рублей 13 копеек процентов за пользование чужими денежными средствами, 30 880 рублей расходов на досудебную экспертизу и диагностику, 386 рублей почтовых расходов и 19 300 рублей расходов на финансирование экспертизы, в удовлетворении встречного иска отказано. Пятнадцатый арбитражный апелляционный суд постановлением от 27.07.2020 изменил решение от 14.05.2020: по первоначальному иску взыскал 981 317 рублей 16 копеек страхового возмещения, 133 053 рубля 03 копейки процентов за пользование чужими денежными средствами, 7 068 рублей 80 копеек расходов на досудебную экспертизу и диагностику, 88 рублей 36 копеек почтовых расходов и 4 418 рублей расходов на финансирование экспертизы, в удовлетворении встречного иска отказал. 2 Арбитражный суд Северо-Кавказского округа постановлением от 27.10.2020 постановление Пятнадцатого арбитражного апелляционного суда от 27.07.2020 оставил без изменения. В кассационной жалобе общество «ОМНИ» просит об отмене судебных актов апелляционного и окружного судов, ссылаясь на неосновательные определение размера страхового возмещения по договору добровольного страхования исходя из Единой методики и без учета утраченной товарной стоимости, непризнание относимости спорных повреждений к дорожно- транспортному происшествию от 06.03.2018.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421 Гражданского кодекса Российской Федерации граждане и юридические лица свободны в заключении договора и вправе заключить его на условиях как предусмотренных, так и не предусмотренных законом или иными правовыми нормативными актами. Повторно рассмотрев дело, суд апелляционной инстанции, установил размер и состав убытков исходя из условий договора добровольного страхования (полиса № 17470V8001102), предусматривающего использование в расчетах Единой методики определения расходов на восстановительный ремонт, утвержденной положением Центрального банка Российской Федерации от 19.09.2014 № 432-П, не учитывающей утраченной товарной стоимости при определении суммы страхового возмещения. Доводы, касающиеся перечня повреждений, связанных с дорожно- транспортным происшествием от 06.03.2018, были оценены судами в рамках предоставленной законом компетенции. Обстоятельства, связанные с доказыванием и оценкой доказательств,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