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14.02.2020, оставленным без изменения постановлением Девятого арбитражного апелляционного суда от 20.07.2020 и постановлением Арбитражного суда Московского округа от 27.10.2020, исковые требования удовлетворены в размере 207 333 рублей. В кассационной жалобе общество «ТрансЛом» просит об отмене судебных актов, ссылаясь на неправильное определение предмета доказывания, неисследование доказательств и отсутствие оценки доводам третьего лица.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в силу статей 15, 393 Гражданского кодекса Российской Федерации условия для взыскания убытков, устанавливаются судами, рассматривающими дело по правилам для суда первой инстанции, и не переоцениваются на стадии кассационного производства.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«ТрансЛом»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