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01.06.2020, оставленным без изменения постановлением Четырнадцатого арбитражного апелляционного суда от 03.09.2020 и постановлением Арбитражного суда Северо-Западного округа от 25.11.2020, заявление общества о взыскании с предпринимателя 128 209 рублей судебных расходов удовлетворено на сумму в 111 409 рублей 10 копеек. В кассационной жалобе предприниматель просит о пересмотре судебных актов, ссылаясь на ненадлежащие доказательства несения судебных расходов.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доказательств несения судебных расходов находится в компетенции суда первой инстанции и осуществлена им в отсутствие нарушений.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Горбач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