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судебным приказом Арбитражного суда Новгородской области от 22.10.2019 с предпринимателя в пользу общества взыскано 100 000 рублей задолженности по договору займа от 26.09.2018 № 07/2018, 112 767 рублей 12 копеек процентов за пользование суммой займа за период с 02.10.2018 по 09.09.2019, 3 628 рублей в возмещение расходов по оплате государственной пошлины. Определением Арбитражного суда Северо-Западного округа от 24.11.2020, оставленным без изменения определением того же суда от 15.12.2020, в удовлетворении ходатайства предпринимателя о восстановлении срока на подачу кассационной жалобы на судебный приказ отказано, жалобы возвращена. В кассационной жалобе предприниматель просит отменить определения окружного суда, ссылаясь на формальную оценку доказательств направления и вручения ему судебного приказа. Согласно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округа оценил приведенную ответчиком причину пропуска срока на подачу кассационной жалобы и установил отсутствие у нее объективного характера. Отказ в восстановлении пропущенного процессуального срока соответствует части 2 статьи 117 и пункту 2 части 1 статьи 281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Орехову Алексею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