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«Ремонтно-строительное управление-9» (далее – Общество) обратилось в Арбитражный суд города Москвы с иском к Банку ВТБ (публичное акционерное общество; далее – Банк) о взыскании 8 396 550 рублей убытков. Решением Арбитражного суда города Москвы от 26.03.2020, оставленным без изменения постановлением Девятого арбитражного апелляционного суда от 12.08.2020 и постановлением Арбитражного суда Московского округа от 02.11.2020,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в рассматриваемом случае отсутствовала обязанность для получения выписки по счету, в связи с чем не пропущен десятидневный срок для предъявления претензии. Банк осуществил расходную операцию по счету фактически без распоряжения клиента. 2 Заявитель отмечает, что суды не проверили условия договора и освободили виновную сторону от ответственности.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между Обществом и Банком заключен договор комплексного обслуживания (по заявлению от 21.06.2017), в рамках которого открыт счет. Обществом 10.04.2019 в системе «ВТБ Бизнес Онлайн» было направлено платежное поручение № 29 на перечисление 8 396 550 рублей. В этот же день – 10.042019 Обществом выявлен факт ошибочного перечисления денежных средств, в связи с чем в адрес Банка по системе банк- клиент направлен отзыв исполнения платежного поручения № 29. Дополнительно сделан телефонный звонок о наличии ошибки и необходимости оставить без исполнения платежный документ. Однако, как указал истец, несмотря на своевременный отзыв платежного поручения, 11.04.2019 ответчик осуществил перечисление денежных средств, причинив Обществу убытки в соответствующей сумме. Ссылаясь на то, что отзыв распоряжения осуществлен до наступления безотзывности перевода, Общество обратилось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15, 393 Гражданского кодекса Российской Федерации, разъяснениями, данными в пункте 12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суды отказали в удовлетворении требований ввиду недоказанности необходимой совокупности условий для привлечения ответчика к гражданско-правовой ответственности в виде взыскания убытков. Судебными инстанциями установлено, что платежное поручение от 10.04.2019 № 29 заполнено истцом корректно, на расчетном имелась достаточная денежная сумма для осуществления перечисления, оснований для неисполнения операции у Банка не имелось. Обществом не соблюден пункт 8.3.6 Условий открытия и ведения банковских счетов, согласно которому обращение в Банк осуществляется в установленный десятидневный срок в письменной форме с уведомлением об ошибочном перечислении денежных средств. При заключении 3 договора банковского счета истец был ознакомлен со всеми относящимися к нему документами.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«Ремонтно-строительное управление-9»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