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08.06.2020, оставленным без изменения постановлением Пятнадцатого арбитражного апелляционного суда от 12.08.2020 и постановлением Арбитражного суда Северо-Кавказского округа от 07.12.2020, с общества в пользу компании взыскано 1 114 205 руб. 64 коп. расходов, связанных с хранением оборудования, в удовлетворении остальной части исковых требований отказано. 2 В кассационной жалобе, поданной в Верховный Суд Российской Федерации, общество, ссылаясь на нарушение судами норм права, несоответствие их выводов фактическим обстоятельствам дела,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Удовлетворяя исковые требования в части, суды руководствовались положениями статей 15, 393, 458, 506 Гражданского кодекса Российской Федерации, разъяснениями, приведенными в постановлении Пленума Верховного Суда Российской Федерации от 23.06.2015 № 25 «О применении судами положений раздела I части первой Гражданского кодекса Российской Федерации», и исходили из доказанности компанией наличия совокупности условий для взыскания расходов, связанных с хранением принятого, но невывезенного обществом оборудования. Приведенные в кассационной жалобе доводы не опровергают выводы судов, направлены на переоценку фактических обстоятельств дела и представленных в материалы дела доказательств и не подтверждают существенных нарушений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открытого акционерного общества «Энекс»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