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10.03.2020, оставленным без изменения постановлением Тринадцатого арбитражного апелляционного суда от 17.07.2020 и постановлением Арбитражного суда Северо-Западного округа от 05.11.2020, в удовлетворении иска отказано.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состоявшихся по делу судебных актов и доводов кассационной жалобы не установлено. Разрешая спор, суды первой и апелляционной инстанций, руководствуясь положениями статей 450.1, 625, 665, 1102 Гражданского кодекса Российской Федерации, статей 10, 28 Федерального закона от 29.10.1998 № 164-ФЗ «О финансовой аренде (лизинге)», разъяснениями, приведенными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проверив расчеты сальдо встречных обязательств, не усмотрев в действиях ответчика по реализации предмета лизинга недобросовестного поведения, пришли к выводу об отсутствии на стороне последнего неосновательного обогащения, с чем впоследствии согласился суд округа. Ссылка заявителя на судебные акты по другим делам не может быть принята во внимание, поскольку при рассмотрении спора суды учитывают конкретные обстоятельства каждого дела и доказательства, представленные сторонами, на основании исследования и оценки которых и принимается судебный акт. Доводы кассационной жалобы не опровергают выводы судов, направлены на переоценку обстоятельств дела, установленных судами,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«След»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