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открытое акционерное общество «Красцветмет» (далее – конкурсный кредитор) обратилось в суд с заявлением о привлечении Миклина Н.А. к субсидиарной ответственности по обязательствам должника. Определением Арбитражного суда города Москвы от 24.03.2020, оставленным без изменения постановлениями Девятого арбитражного апелляционного суда от 12.08.2020 и Арбитражного суда Московского округа от 02.11.2020,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руководствуясь статьями 10, 61.11, 126 Федерального закона от 26.10.2002 № 127-ФЗ «О несостоятельности (банкротстве)», признали доказанным наличие оснований для привлечения к субсидиарной ответственности заявителя как бывшего руководителя в связи с совершением сделок по безвозмездному перечислению денежных средств, существенно ухудшивших имущественное положение контролируемого им юридического лица и в дальнейшем признанных недействительными, а также ненадлежащем исполнением своих обязанностей по передаче бухгалтерской и иной документации должника в части дебиторской задолженности, исключившим вероятность её обнаружения в целях пополнения конкурсной массы и наиболее полного удовлетворения требований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жалобы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Миклину Николаю Алексеевичу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