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27.02.2020, оставленным без изменения постановлением Восемнадцатого арбитражного апелляционного суда от 15.07.2020 и постановлением Арбитражного суда Уральского округа от 22.10.2020, иск удовлетворен частично. В кассационной жалобе общество просит об отмене судебных актов, ссылаясь на незаконное чрезмерное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«Топливная Группа-Н»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