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12.09.2017, оставленным без изменения постановлением Девятого арбитражного апелляционного суда от 04.12.2017, исковые требования удовлетворены солидарно за счет выставки и общества. Постановлением Арбитражного суда Московского округа от 02.04.2018 решение от 12.09.2017 и постановление Девятого арбитражного апелляционного суда от 04.12.2017 отменены в части отказа в иске к предпринимателям и в отношении них дело направлено на новое рассмотрение в Арбитражный суд города Москвы. 2 Принятым при новом рассмотрении решением Арбитражного суда города Москвы от 23.12.2019, оставленным без изменения постановлением Девятого арбитражного апелляционного суда от 15.07.2020, с предпринимателей солидарно взыскано 14 772 266 рублей 08 копеек процентов за пользование кредитом и 3 071 624 рубля 19 копеек неустойки в пользу банка, 29 974 934 рубля 94 копейки – в пользу Фонда содействия кредитованию малого бизнеса Москвы (правопреемника банка). Арбитражный суд Московского округа постановлением от 13.10.2020 решение от 23.12.2019 и постановление Девятого арбитражного апелляционного суда от 15.07.2020 оставил без изменения. В кассационных жалобах предприниматели просят об отмене принятых при новом рассмотрении судебных актов, ссылаясь на отсутствие надлежащих доказательств наличия заключенных с банком договоров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новом рассмотрении дела по требованиям к предпринимателям (поручителям) суды исполнили указания окружного суда и исследовали по правилам статей 64, 65, 67, 71 Арбитражного процессуального кодекса Российской Федерации доказательства в обоснование предоставленных предпринимателями поручительств за заемщика (третье лицо) и признали их наличие, поэтому удовлетворили иск в соответствии со статьями 361, 363 Гражданского кодекса Российской Федерации. Указываемые обстоятельства, связанные с доказыванием и оценкой доказательств,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индивидуальным предпринимателям Гнездилову А.В., Гнездиловой А.В., Плющевой Е.А.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