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судьи Верховного Суда Российской Федерации от 04.02.2021 № 305-ЭС20-22901 обществу с ограниченной ответственностью «Городской Транзит» отказано в передаче кассационной жалобы на решение Арбитражного суда Московской области от 04.02.2020 по делу № А41-104998/2019, постановление Десятого арбитражного апелляционного суда от 03.08.2020 и постановление Арбитражного суда Московского округа от 06.11.2020 по тому же делу для рассмотрения в судебном заседании Судебной коллегии по экономическим спорам Верховного Суда Российской Федерации. Общество с ограниченной ответственностью «Городской Транзит» обратилось в Верховный Суд Российской Федерации с заявлением об исправлении опечатки в определении судьи Верховного Суда Российской Федерации от 04.02.2021 № 305-ЭС20-22901. В соответствии с частью 3 статьи 179 Арбитражного процессуального кодекса Российской Федерации арбитражный суд, принявший решение, по заявлению лица, участвующего в деле, судебного пристава – исполнителя, других исполняющих решение арбитражного суда органа, организации или по своей инициативе вправе исправить допущенные в решении описки, опечатки и арифметические ошибки без изменения его содержания. Однако приведенные заявителем доводы не свидетельствуют о том, что в определении допущены опечатки, напротив, требование общества направлено на изменение содержания принятого судебного акта. Учитывая изложенное, заявление общества с ограниченной ответственностью «Городской Транзит» не подлежит удовлетворению. Руководствуясь статьями 179 , 184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удовлетворении заявления общества с ограниченной ответственностью «Городской Транзит» об исправлении опечатки в определении судьи Верховного Суда Российской Федерации от 04.02.2021 № 305-ЭС20-22901 по делу № А41-104998/2019 Арбитражного суда Московской области. Судья Верховного Суда Российской Федерации Е.Н.Зарубина Суд: Верховный Суд РФ (подробнее) Истцы: ООО "Стройлидер" (подробнее) Ответчики: ООО "ГОРОДСКОЙ ТРАНЗИТ"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