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19.06.2020, оставленным без изменения постановлением Одиннадцатого арбитражного апелляционного суда от 01.09.2020, с предпринимателей солидарно взыскано 1 352 293 рубля 39 копеек неустойки. Арбитражный суд Поволжского округа постановлением от 10.12.2020 решение от 19.06.2020 и постановление Одиннадцатого арбитражного апелляционного суда от 01.09.2020 оставил без изменения. В кассационной жалобе предприниматель Серопян Л.И. просит об отмене судебных актов, ссылаясь на неподведомственность данного спора арбитражному суду, несоблюдение досудебного порядка урегулирования спора, игнорирование недобросовестного поведения банка.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Подведомственность спора определена в соответствии со статусом ответчиков как предпринимателей в спорных правоотношениях. В действиях банка, основанных на договоре, злоупотребления не установлено. Вопросы досудебного порядка урегулирования спора не образуют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Серопян Л.И.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