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Рязанской области от 09.07.2020, оставленным без изменения постановлением Двадцатого арбитражного апелляционного суда от 17.09.2020, иск удовлетворен. Арбитражный суд Центрального округа постановлением от 03.12.2020 решение от 09.07.2020 и постановление Двадцатого арбитражного апелляционного суда от 17.09.2020 оставил без изменения. В кассационной жалобе Колядина Н.М. просит об отмене судебных актов, ссылаясь на недобросовестность истца при предъявлении иска и предоставление им спорной суммы по иному договору, срок исполнения которого не наступил.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вступление сторонами в правоотношения по займу, в силу статей 807, 810 Гражданского кодекса Российской Федерации создающее обязанность возвратить денежные средства по требованию займодавца (истца), и отсутствие оснований для освобождения от исполнения такой обязанности в связи с наличием корпоративного конфликта.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Колядиной Н.М.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