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22.02.2020 отказано в удовлетворении иска вследствие предъявления банку требования о платеже после прекращения срока действия гарантии. Девятый арбитражный апелляционный суд постановлением от 27.07.2020 отменил решение от 22.02.2020 и взыскал 26 728 267 рублей 51 копейку. Арбитражный суд Московского округа постановлением от 27.10.2020 постановление Девятого арбитражного апелляционного суда от 27.07.2020 оставил без изменения. Банк в кассационной жалобе просит о пересмотре судебных актов апелляционного и окружного судов, ссылаясь на предъявление требования о 2 платеже по истечении срока действия гарантии, объединение – в связи с нарушением управлением условий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Апелляционный суд установил, что требование о платеже от 07.02.2019 № 3 было представлено управлением в переделах срока гарантии и соответствовало ее условиям, поэтому подлежало удовлетворению после отмены обеспечительных мер. В отношении предъявленных за пределами срока действия гарантии требований отказ банка в платеже признан правомерным. Довод объединения о несоответствии приложенных к требованию о платеже документов условиям гарантии опровергнут установленными судами обстоятельствами.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и обществу с ограниченной ответственностью «Научно-производственное объединение «РАНД»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