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Челябинской области от 20.01.2020, оставленным без изменения постановлением Восемнадцатого арбитражного апелляционного суда от 16.06.2020, в удовлетворении иска отказано. Арбитражный суд Уральского округа постановлением от 23.10.2020 решение от 20.01.2020 и постановление Восемнадцатого арбитражного апелляционного суда от 16.06.2020 оставил без изменения. В кассационной жалобе общество просит об отмене судебных актов, ссылаясь на неосновательность выводов о сомнительном характере действий истца и примении к нему ранее мер противодействия.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по доводам кассационной жалобы не усматривается. Суды установили, что оспариваемые действия банка явились результатом проверки операций общества применительно к критериям, установленным Федеральным законом от 07.08.2001 № 115-ФЗ «О противодействии легализации (отмыванию) доходов, полученных преступным путем, и финансированию терроризма», нормативными актами Банка России, правилами внутреннего контроля банка, и соответствуют этим документам и договору банковского счета. Заложенная в доводах жалобы иная оценка действий банка и общества противоречит установленным судами обстоятельствам спорных правоотношений и не создает оснований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«Выбор-Инвест»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