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24.01.2020 в удовлетворении первоначального и встречного исков отказано. Тринадцатый арбитражный апелляционный суд постановлением от 06.07.2020 изменил решение от 24.01.2020: удовлетворил первоначальный иск, в удовлетворении встречного иска отказал. Арбитражный суд Северо-Западного округа постановлением от 19.11.2020 постановление Тринадцатого арбитражного апелляционного суда от 06.07.2020 оставил без изменения. В кассационной жалобе АО «СОГАЗ» просит об отмене судебных актов апелляционного и окружного судов, ссылаясь на попадание события под исключение из страховых случаев, неустановление конструктивной гибели судна.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причинно-следственную связь возникших убытков с ошибочными действиями экипажа застрахованного судна в нестандартной ситуации и страхование риска таких убытков в имуществе в силу договора 08.06.2017 № 5517HL0010 (пункт 1 статьи 929 и подпункт 2 пункта 1 статьи 942 Гражданского кодекса Российской Федерации). Применительно к доводу страховщика суд признал отсутствующими указание на конкретное нарушение правил плавания в заключении органа Ространснадзора по результату расследования инцидента и принятие мер административного реагирования. Конструктивная гибель судна установлена судами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"СЕВРОС" (подробнее) Ответчики: АО "СТРАХОВОЕ ОБЩЕСТВО ГАЗОВОЙ ПРОМЫШЛЕННОСТИ" (подробнее) Иные лица: Арбитражный суд Мурманской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