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17.02.2020, оставленным без изменения постановлением Девятого арбитражного апелляционного суда от 09.07.2020, в удовлетворении иска отказано. Арбитражный суд Московского округа постановлением от 28.10.2020 решение от 17.02.2020 и постановление Девятого арбитражного апелляционного суда от 09.07.2020 оставил без изменения. В кассационной жалобе общество «Стикс» просит об отмене судебных актов, ссылаясь на не опровергнутую фальсификацию выданных от имени истца доверенностей, отсутствие доказательств принятия товара уполномоченным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доказанным ответчиком основание получения спорной денежной суммы, поэтому отказали в ее взыскании по правилу 1102 Гражданского кодекса Российской Федерации. Заявление о фальсификации доказательств рассмотрено судом первой инстанции и для его проверки назначена судебно-почерковедческая и судебно- техническая экспертиза, заключение которой оценено наряду с другими доказательствами. Обстоятельства, основанные на доказывании и оценке доказательств,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