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03.12.2019 иск удовлетворен. Постановлением Третьего арбитражного апелляционного суда от 17.06.2020 решение суда первой инстанции изменено. Из мотивировочной части решения исключены 8 абзац 8 страницы со слов «отклоняя доводы истца...», с 11 абзаца 8 страницы со слов «Таким образом...» до 4 абзаца 9 страницы включительно до слов «... не выдается». Из резолютивной части 2 решения исключено предложение «Разъяснить сторонам, что исполнительный лист по делу выдачи не подлежит». Постановлением Арбитражного суда Восточно-Сибирского округа от 17.11.2020 постановление суда апелляционной инстанции оставлено без изменения. В кассационной жалобе, поданной в Верховный Суд Российской Федерации, компания, ссылаясь на нарушение судами апелляционной и кассационной инстанций норм материального права, просит отменить их постановления.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Как следует из судебных актов, требования общества (подрядчик) мотивированы тем, что компания (субподрядчик) не исполнила обязательства по устранению недостатков в выполненных ею работах по договорам субподряда от 02.02.2015 № ПС021-15, от 21.03.2016 № ПС060-16 (далее – договоры).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наличия недостатков работ, выполненных компанией по договорам и выявленных в период гарантийного срока, ее надлежащего извещения об их обнаружении, принимая во внимание отсутствие доказательств устранения недостатков работ, руководствуясь статьями 15, 393, 721, 722, 724, 740, 755 Гражданского кодекса Российской Федерации, суды первой и апелляционной инстанций удовлетворили иск общества. При этом суд первой инстанции пришел к выводу о том, что заявленные требования с учетом банкротства компании являются реестровыми. Однако, учитывая, что определением Арбитражного суда города Москвы от 27.08.2018 по делу № А40-60653/2017 о банкротстве компании производство по заявлению общества о включении в реестр требований кредиторов должника задолженности, связанной с недостатками выполненных работ по спорным договорам, прекращено (в связи с выводом о текущем характере требования), суд указал на невозможность оставления искового заявления без рассмотрения. Изменяя решение суда первой инстанции, суд апелляционной инстанции исключил из его мотивировочной части выводы, касающиеся квалификации заявленных требований как реестровых, а из резолютивной 3 части – предложение о том, что исполнительный лист по делу выдаче не подлежит. При этом суд, принимая во внимание положения статьи 1 Федерального закона от 26.10.2002 № 127-ФЗ «О несостоятельности (банкротстве)», разъяснения, изложенные в пункте 2 постановления Пленума Высшего Арбитражного Суда Российской Федерации от 23.07.2009 № 63 «О текущих платежах», исходил из того, что работы выполнены и сданы компанией после возбуждения в отношении нее дела о банкротстве, в связи с чем предъявленные обществом требования являются текущими. Суд округа согласился с выводами суда апелляционной инстанции. С учетом установленных апелляционным судом фактических обстоятельств настоящего дела доводы, изложенные заявителем в кассационной жалобе,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«ЛЭП-монтаж»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