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13.03.2020, оставленным без изменения постановлением Девятого арбитражного апелляционного суда от 13.07.2020 и постановлением Арбитражного суда Московского округа от 29.10.2020, с общества в пользу компании взыскано 67 883 201 руб. 70 коп. задолженности и 3 394 160 руб. 08 коп. неустойки,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компании (субподрядчик) мотивированы тем, что общество (подрядчик) не исполнило обязательства по оплате работ, выполненных субподрядчиком в рамках договоров от 26.10.2018 № М-18-18/ЕМ, от 16.01.2019 № Т-19-18/ЭМ (далее – договоры).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компанией работ по договорам, принятия их результата обществом без возражений и замечаний, отсутствие доказательств его оплаты, руководствуясь статьями 309, 310, 330, 702, 711, 720, 746, 753 Гражданского кодекса Российской Федерации, суды первой и апелляционной инстанций пришли к выводу о наличии оснований для взыскания с общества задолженности и неустойки. С указанными выводами впоследствии согласился суд округа, рассмотрев и мотивированно отклонив доводы заявителя, в том числе касающиеся нарушения судом правил перехода из предварительного судебного заседания в основное, отказа судов в удовлетворении ходатайств о назначении экспертизы, приобщении и истребовании дополнительных доказательств. Доводы кассационной жалобы не опровергают выводы судов, не свидетельствуют о существенном нарушении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«ТОЦЦИ 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