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«Стройсервис» (далее – истец) обратилось в Арбитражный суд Еврейской автономной области с иском к Управлению архитектуры и строительства правительства Еврейской автономной области (далее – ответчик) о взыскании 2 158 165 рублей 20 копеек. К участию в деле в качестве третьего лица, не заявляющего самостоятельные требования, привлечено общество с ограниченной ответственностью «Масис» (далее – общество). До рассмотрения дела по существу ответчик признал факт выполнения истцом работ и наличия задолженности на заявленную сумму. Учитывая признание иска ответчиком, решением Арбитражного суда Еврейской автономной области от 17.06.2020, оставленным без изменения 2 постановлением Шестого арбитражного апелляционного суда от 02.09.2020, требования истца удовлетворены. Арбитражный суд Дальневосточного округа постановлением от 05.11.2020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с учетом установленных обстоятельств, связанных с выполнением истцом в рамках заключенного с ответчиком контракта от 25.02.2019 № 17 на выполнение работ по строительству здания крытого катка с искусственным льдом дополнительных работ по устранению выявленных дефектов, возникших вследствие выполненных ранее обществом подготовительных работ на объекте строительства с недостатками, которые не были устранены самим обществом, принимая во внимание факт согласования между ответчиком (заказчик) и истцом (подрядчик) выполнения дополнительных работ, учитывая признание ответчиком обстоятельств, на которых истец основывал свои требования, в том числе факт выполнения истцом спорных работ и их принятие ответчиком, а также стоимость этих работ, подтвержденную соответствующими актами о приемке,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положениями статьи 49 и части 3 статьи 70 Арбитражного 3 процессуального кодекса Российской Федерации, суды удовлетворили требования истца.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обстоятельств дела, связанных с отсутствием со стороны ответчика злоупотребления правом по признанию иска в целях причинения вреда обществу. Оснований для освобождения ответчика от обязанности по оплате истцу выполненных дополнительных работ с учетом того, что их стоимость не превышает 10 процентов от первоначальной цены контракта, заключенного между истцом и ответчиком, суды не установили. Кроме того, отклоняя доводы общества, суд округа указал, что являясь третьим лицом по делу, не заявляющим самостоятельные требования, общество просит принять судебный акт не в пользу истца, в то время как ответчик, с которого взыскана задолженность, с соответствующей кассационной жалобой на принятые судебные акты не обращается. При этом общество в случае, если полагает, что его права нарушены, не лишено возможности защитить их в самостоятельном исковом производстве в рамках его правоотношений с ответчиком по государственному контракту от 22.10.2018 № 13.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